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33D97B55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D231BE">
        <w:rPr>
          <w:rFonts w:ascii="Arial" w:hAnsi="Arial" w:cs="Arial"/>
          <w:b/>
          <w:szCs w:val="28"/>
          <w:lang w:val="en-US"/>
        </w:rPr>
        <w:t>8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86487D" w:rsidRPr="0086487D">
        <w:rPr>
          <w:rFonts w:ascii="Arial" w:hAnsi="Arial" w:cs="Arial"/>
          <w:b/>
          <w:szCs w:val="28"/>
          <w:lang w:val="en-US"/>
        </w:rPr>
        <w:t>R4-23</w:t>
      </w:r>
      <w:r w:rsidR="00C4525D">
        <w:rPr>
          <w:rFonts w:ascii="Arial" w:hAnsi="Arial" w:cs="Arial"/>
          <w:b/>
          <w:szCs w:val="28"/>
          <w:lang w:val="en-US"/>
        </w:rPr>
        <w:t>13519</w:t>
      </w:r>
    </w:p>
    <w:p w14:paraId="60407F1B" w14:textId="13C97A68" w:rsidR="00CC6F36" w:rsidRPr="001D2FBF" w:rsidRDefault="001C5EA5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Toulouse, France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0E2191">
        <w:rPr>
          <w:rFonts w:ascii="Arial" w:hAnsi="Arial" w:cs="Arial"/>
          <w:b/>
          <w:szCs w:val="28"/>
          <w:lang w:val="en-US"/>
        </w:rPr>
        <w:t>August 2</w:t>
      </w:r>
      <w:r>
        <w:rPr>
          <w:rFonts w:ascii="Arial" w:hAnsi="Arial" w:cs="Arial"/>
          <w:b/>
          <w:szCs w:val="28"/>
          <w:lang w:val="en-US"/>
        </w:rPr>
        <w:t>1</w:t>
      </w:r>
      <w:r w:rsidR="000E2191">
        <w:rPr>
          <w:rFonts w:ascii="Arial" w:hAnsi="Arial" w:cs="Arial"/>
          <w:b/>
          <w:szCs w:val="28"/>
          <w:lang w:val="en-US"/>
        </w:rPr>
        <w:t>-2</w:t>
      </w:r>
      <w:r>
        <w:rPr>
          <w:rFonts w:ascii="Arial" w:hAnsi="Arial" w:cs="Arial"/>
          <w:b/>
          <w:szCs w:val="28"/>
          <w:lang w:val="en-US"/>
        </w:rPr>
        <w:t>5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7CBDB2D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000C4">
        <w:rPr>
          <w:rFonts w:ascii="Arial" w:hAnsi="Arial" w:cs="Arial"/>
          <w:bCs/>
          <w:sz w:val="22"/>
          <w:szCs w:val="22"/>
          <w:lang w:val="en-US"/>
        </w:rPr>
        <w:t>8.</w:t>
      </w:r>
      <w:r w:rsidR="00CC4DD7">
        <w:rPr>
          <w:rFonts w:ascii="Arial" w:hAnsi="Arial" w:cs="Arial"/>
          <w:bCs/>
          <w:sz w:val="22"/>
          <w:szCs w:val="22"/>
          <w:lang w:val="en-US"/>
        </w:rPr>
        <w:t>33</w:t>
      </w:r>
      <w:r w:rsidR="001000C4">
        <w:rPr>
          <w:rFonts w:ascii="Arial" w:hAnsi="Arial" w:cs="Arial"/>
          <w:bCs/>
          <w:sz w:val="22"/>
          <w:szCs w:val="22"/>
          <w:lang w:val="en-US"/>
        </w:rPr>
        <w:t>.</w:t>
      </w:r>
      <w:r w:rsidR="00CC4DD7">
        <w:rPr>
          <w:rFonts w:ascii="Arial" w:hAnsi="Arial" w:cs="Arial"/>
          <w:bCs/>
          <w:sz w:val="22"/>
          <w:szCs w:val="22"/>
          <w:lang w:val="en-US"/>
        </w:rPr>
        <w:t>4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51DFC6C7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3E2ABF" w:rsidRPr="003E2ABF">
        <w:rPr>
          <w:rFonts w:ascii="Arial" w:hAnsi="Arial" w:cs="Arial"/>
          <w:sz w:val="22"/>
          <w:szCs w:val="22"/>
          <w:lang w:val="en-US"/>
        </w:rPr>
        <w:t xml:space="preserve">Analysis of </w:t>
      </w:r>
      <w:proofErr w:type="spellStart"/>
      <w:r w:rsidR="00FC121B">
        <w:rPr>
          <w:rFonts w:ascii="Arial" w:hAnsi="Arial" w:cs="Arial"/>
          <w:sz w:val="22"/>
          <w:szCs w:val="22"/>
          <w:lang w:val="en-US"/>
        </w:rPr>
        <w:t>mIAB</w:t>
      </w:r>
      <w:proofErr w:type="spellEnd"/>
      <w:r w:rsidR="00FC121B">
        <w:rPr>
          <w:rFonts w:ascii="Arial" w:hAnsi="Arial" w:cs="Arial"/>
          <w:sz w:val="22"/>
          <w:szCs w:val="22"/>
          <w:lang w:val="en-US"/>
        </w:rPr>
        <w:t xml:space="preserve"> </w:t>
      </w:r>
      <w:r w:rsidR="003E2ABF" w:rsidRPr="003E2ABF">
        <w:rPr>
          <w:rFonts w:ascii="Arial" w:hAnsi="Arial" w:cs="Arial"/>
          <w:sz w:val="22"/>
          <w:szCs w:val="22"/>
          <w:lang w:val="en-US"/>
        </w:rPr>
        <w:t>intra-frequency HO and RRC re</w:t>
      </w:r>
      <w:r w:rsidR="00FC121B">
        <w:rPr>
          <w:rFonts w:ascii="Arial" w:hAnsi="Arial" w:cs="Arial"/>
          <w:sz w:val="22"/>
          <w:szCs w:val="22"/>
          <w:lang w:val="en-US"/>
        </w:rPr>
        <w:t>-</w:t>
      </w:r>
      <w:r w:rsidR="003E2ABF" w:rsidRPr="003E2ABF">
        <w:rPr>
          <w:rFonts w:ascii="Arial" w:hAnsi="Arial" w:cs="Arial"/>
          <w:sz w:val="22"/>
          <w:szCs w:val="22"/>
          <w:lang w:val="en-US"/>
        </w:rPr>
        <w:t xml:space="preserve">establishment </w:t>
      </w:r>
      <w:r w:rsidR="003E2ABF">
        <w:rPr>
          <w:rFonts w:ascii="Arial" w:hAnsi="Arial" w:cs="Arial"/>
          <w:sz w:val="22"/>
          <w:szCs w:val="22"/>
          <w:lang w:val="en-US"/>
        </w:rPr>
        <w:t>requirements</w:t>
      </w:r>
    </w:p>
    <w:p w14:paraId="37EAE97F" w14:textId="0162D8EF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1000C4">
        <w:rPr>
          <w:rFonts w:ascii="Arial" w:hAnsi="Arial" w:cs="Arial"/>
          <w:sz w:val="22"/>
          <w:szCs w:val="22"/>
        </w:rPr>
        <w:t>Discussion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E1D0094" w14:textId="7503BE93" w:rsidR="00537275" w:rsidRDefault="00CC4DD7" w:rsidP="00812F0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work split on draft CRs to define the RRM core requirements for </w:t>
      </w:r>
      <w:r w:rsidR="00D57B6A">
        <w:rPr>
          <w:sz w:val="22"/>
          <w:szCs w:val="22"/>
          <w:lang w:val="en-US"/>
        </w:rPr>
        <w:t>mobile IAB-MT (</w:t>
      </w:r>
      <w:proofErr w:type="spellStart"/>
      <w:r w:rsidR="00D57B6A">
        <w:rPr>
          <w:sz w:val="22"/>
          <w:szCs w:val="22"/>
          <w:lang w:val="en-US"/>
        </w:rPr>
        <w:t>mIAB</w:t>
      </w:r>
      <w:proofErr w:type="spellEnd"/>
      <w:r w:rsidR="00D57B6A">
        <w:rPr>
          <w:sz w:val="22"/>
          <w:szCs w:val="22"/>
          <w:lang w:val="en-US"/>
        </w:rPr>
        <w:t xml:space="preserve">-MT) was agreed in the approved WF </w:t>
      </w:r>
      <w:r w:rsidR="000E337F">
        <w:rPr>
          <w:sz w:val="22"/>
          <w:szCs w:val="22"/>
          <w:lang w:val="en-US"/>
        </w:rPr>
        <w:t>[1]</w:t>
      </w:r>
      <w:r w:rsidR="00C64530">
        <w:rPr>
          <w:sz w:val="22"/>
          <w:szCs w:val="22"/>
          <w:lang w:val="en-US"/>
        </w:rPr>
        <w:t xml:space="preserve">. </w:t>
      </w:r>
    </w:p>
    <w:p w14:paraId="6112E82E" w14:textId="169158A5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the</w:t>
      </w:r>
      <w:r w:rsidR="00D57B6A">
        <w:rPr>
          <w:sz w:val="22"/>
          <w:szCs w:val="22"/>
          <w:lang w:val="en-US"/>
        </w:rPr>
        <w:t xml:space="preserve"> </w:t>
      </w:r>
      <w:r w:rsidR="006656EF">
        <w:rPr>
          <w:sz w:val="22"/>
          <w:szCs w:val="22"/>
          <w:lang w:val="en-US"/>
        </w:rPr>
        <w:t xml:space="preserve">details of the handover and RRC connection release with redirection requirements for the </w:t>
      </w:r>
      <w:proofErr w:type="spellStart"/>
      <w:r w:rsidR="006656EF">
        <w:rPr>
          <w:sz w:val="22"/>
          <w:szCs w:val="22"/>
          <w:lang w:val="en-US"/>
        </w:rPr>
        <w:t>mIAB</w:t>
      </w:r>
      <w:proofErr w:type="spellEnd"/>
      <w:r w:rsidR="006656EF">
        <w:rPr>
          <w:sz w:val="22"/>
          <w:szCs w:val="22"/>
          <w:lang w:val="en-US"/>
        </w:rPr>
        <w:t>-MT based on all the previous agreements</w:t>
      </w:r>
      <w:r w:rsidR="000971C5">
        <w:rPr>
          <w:sz w:val="22"/>
          <w:szCs w:val="22"/>
          <w:lang w:val="en-US"/>
        </w:rPr>
        <w:t xml:space="preserve">. </w:t>
      </w:r>
    </w:p>
    <w:p w14:paraId="3405DA93" w14:textId="1BF3413C" w:rsidR="0021019B" w:rsidRPr="001B3AAB" w:rsidRDefault="00074CDE" w:rsidP="001B3AAB">
      <w:pPr>
        <w:pStyle w:val="Heading1"/>
      </w:pPr>
      <w:r>
        <w:t xml:space="preserve">Analysis </w:t>
      </w:r>
      <w:r w:rsidR="000C7FCA">
        <w:t xml:space="preserve">of </w:t>
      </w:r>
      <w:proofErr w:type="spellStart"/>
      <w:r w:rsidR="00BE6851">
        <w:t>mIAB</w:t>
      </w:r>
      <w:proofErr w:type="spellEnd"/>
      <w:r w:rsidR="00E15039">
        <w:t xml:space="preserve">-MT </w:t>
      </w:r>
      <w:r w:rsidR="006C31F0">
        <w:t>HO</w:t>
      </w:r>
      <w:r w:rsidR="00E15039" w:rsidRPr="00E15039">
        <w:t xml:space="preserve"> requirements</w:t>
      </w:r>
    </w:p>
    <w:p w14:paraId="0FD98A50" w14:textId="6BC6288B" w:rsidR="00F8765E" w:rsidRDefault="001B3AAB" w:rsidP="0021019B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</w:t>
      </w:r>
      <w:r w:rsidR="006656EF">
        <w:rPr>
          <w:sz w:val="22"/>
          <w:szCs w:val="22"/>
          <w:lang w:val="en-GB" w:eastAsia="en-US"/>
        </w:rPr>
        <w:t xml:space="preserve">following was agreed regarding the handover requirements for the </w:t>
      </w:r>
      <w:proofErr w:type="spellStart"/>
      <w:r w:rsidR="006656EF">
        <w:rPr>
          <w:sz w:val="22"/>
          <w:szCs w:val="22"/>
          <w:lang w:val="en-GB" w:eastAsia="en-US"/>
        </w:rPr>
        <w:t>mIAB</w:t>
      </w:r>
      <w:proofErr w:type="spellEnd"/>
      <w:r w:rsidR="006656EF">
        <w:rPr>
          <w:sz w:val="22"/>
          <w:szCs w:val="22"/>
          <w:lang w:val="en-GB" w:eastAsia="en-US"/>
        </w:rPr>
        <w:t>-MT [1]:</w:t>
      </w:r>
    </w:p>
    <w:p w14:paraId="590124BC" w14:textId="77777777" w:rsidR="00682493" w:rsidRDefault="00682493" w:rsidP="00FF4A6A">
      <w:pPr>
        <w:jc w:val="both"/>
        <w:rPr>
          <w:sz w:val="22"/>
          <w:szCs w:val="22"/>
          <w:lang w:val="en-GB" w:eastAsia="en-US"/>
        </w:rPr>
      </w:pPr>
    </w:p>
    <w:p w14:paraId="05C2F26D" w14:textId="77777777" w:rsidR="00491151" w:rsidRPr="00CA663B" w:rsidRDefault="00491151" w:rsidP="006656EF">
      <w:pPr>
        <w:pBdr>
          <w:top w:val="single" w:sz="6" w:space="1" w:color="auto"/>
        </w:pBdr>
        <w:spacing w:after="12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CA663B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Intra-frequency HO requirements</w:t>
      </w:r>
    </w:p>
    <w:p w14:paraId="22DB05CF" w14:textId="77777777" w:rsidR="00491151" w:rsidRPr="00534938" w:rsidRDefault="00491151" w:rsidP="00534938">
      <w:pPr>
        <w:pStyle w:val="ListParagraph"/>
        <w:numPr>
          <w:ilvl w:val="0"/>
          <w:numId w:val="26"/>
        </w:numPr>
        <w:pBdr>
          <w:bottom w:val="single" w:sz="6" w:space="1" w:color="auto"/>
        </w:pBdr>
        <w:spacing w:after="120"/>
        <w:rPr>
          <w:rFonts w:ascii="Times New Roman" w:eastAsia="SimSun" w:hAnsi="Times New Roman"/>
          <w:i/>
          <w:iCs/>
          <w:sz w:val="20"/>
          <w:szCs w:val="20"/>
          <w:lang w:val="en-GB" w:eastAsia="zh-CN"/>
        </w:rPr>
      </w:pPr>
      <w:r w:rsidRPr="00534938">
        <w:rPr>
          <w:rFonts w:ascii="Times New Roman" w:eastAsia="SimSun" w:hAnsi="Times New Roman"/>
          <w:i/>
          <w:iCs/>
          <w:sz w:val="20"/>
          <w:szCs w:val="20"/>
          <w:lang w:val="en-GB" w:eastAsia="zh-CN"/>
        </w:rPr>
        <w:t>Reuse the UE intra-frequency HO requirements from TS 38.133 clauses 6.1.1.2 and 6.1.1.4 as baseline.</w:t>
      </w:r>
    </w:p>
    <w:p w14:paraId="683FA4ED" w14:textId="77777777" w:rsidR="00682493" w:rsidRDefault="00682493" w:rsidP="00FF4A6A">
      <w:pPr>
        <w:jc w:val="both"/>
        <w:rPr>
          <w:sz w:val="22"/>
          <w:szCs w:val="22"/>
          <w:lang w:val="en-GB" w:eastAsia="en-US"/>
        </w:rPr>
      </w:pPr>
    </w:p>
    <w:p w14:paraId="44FC6CEF" w14:textId="5B98B2B2" w:rsidR="006656EF" w:rsidRDefault="00CA663B" w:rsidP="00FF4A6A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According to the above agreement, the HO requirements for the </w:t>
      </w:r>
      <w:proofErr w:type="spellStart"/>
      <w:r>
        <w:rPr>
          <w:sz w:val="22"/>
          <w:szCs w:val="22"/>
          <w:lang w:val="en-GB" w:eastAsia="en-US"/>
        </w:rPr>
        <w:t>mIAB</w:t>
      </w:r>
      <w:proofErr w:type="spellEnd"/>
      <w:r>
        <w:rPr>
          <w:sz w:val="22"/>
          <w:szCs w:val="22"/>
          <w:lang w:val="en-GB" w:eastAsia="en-US"/>
        </w:rPr>
        <w:t xml:space="preserve">-MT are </w:t>
      </w:r>
      <w:r w:rsidR="00C955F4">
        <w:rPr>
          <w:sz w:val="22"/>
          <w:szCs w:val="22"/>
          <w:lang w:val="en-GB" w:eastAsia="en-US"/>
        </w:rPr>
        <w:t xml:space="preserve">based on the corresponding requirements for the </w:t>
      </w:r>
      <w:r w:rsidR="001944D5">
        <w:rPr>
          <w:sz w:val="22"/>
          <w:szCs w:val="22"/>
          <w:lang w:val="en-GB" w:eastAsia="en-US"/>
        </w:rPr>
        <w:t xml:space="preserve">UE defined in TS 38.133. However, some aspects used in the HO requirements for the UE </w:t>
      </w:r>
      <w:r w:rsidR="005E4E70">
        <w:rPr>
          <w:sz w:val="22"/>
          <w:szCs w:val="22"/>
          <w:lang w:val="en-GB" w:eastAsia="en-US"/>
        </w:rPr>
        <w:t xml:space="preserve">should </w:t>
      </w:r>
      <w:r w:rsidR="001944D5">
        <w:rPr>
          <w:sz w:val="22"/>
          <w:szCs w:val="22"/>
          <w:lang w:val="en-GB" w:eastAsia="en-US"/>
        </w:rPr>
        <w:t xml:space="preserve">not be applicable to the </w:t>
      </w:r>
      <w:proofErr w:type="spellStart"/>
      <w:r w:rsidR="001944D5">
        <w:rPr>
          <w:sz w:val="22"/>
          <w:szCs w:val="22"/>
          <w:lang w:val="en-GB" w:eastAsia="en-US"/>
        </w:rPr>
        <w:t>mIAB</w:t>
      </w:r>
      <w:proofErr w:type="spellEnd"/>
      <w:r w:rsidR="005E4E70">
        <w:rPr>
          <w:sz w:val="22"/>
          <w:szCs w:val="22"/>
          <w:lang w:val="en-GB" w:eastAsia="en-US"/>
        </w:rPr>
        <w:t xml:space="preserve">-MT. The </w:t>
      </w:r>
      <w:r w:rsidR="00E22080">
        <w:rPr>
          <w:sz w:val="22"/>
          <w:szCs w:val="22"/>
          <w:lang w:val="en-GB" w:eastAsia="en-US"/>
        </w:rPr>
        <w:t>handover requirements should be introduced only for the non-DRX case as agreed in the following WF [2]:</w:t>
      </w:r>
    </w:p>
    <w:p w14:paraId="5CFA2FA4" w14:textId="77777777" w:rsidR="00D61AEC" w:rsidRDefault="00D61AEC" w:rsidP="00FF4A6A">
      <w:pPr>
        <w:jc w:val="both"/>
        <w:rPr>
          <w:sz w:val="22"/>
          <w:szCs w:val="22"/>
          <w:lang w:val="en-GB" w:eastAsia="en-US"/>
        </w:rPr>
      </w:pPr>
    </w:p>
    <w:p w14:paraId="4AD943E5" w14:textId="77777777" w:rsidR="00D61AEC" w:rsidRPr="00D61AEC" w:rsidRDefault="00D61AEC" w:rsidP="00E22080">
      <w:pPr>
        <w:pBdr>
          <w:top w:val="single" w:sz="6" w:space="1" w:color="auto"/>
        </w:pBdr>
        <w:spacing w:after="18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D61AEC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Issue 1-10: DRX requirements handling</w:t>
      </w:r>
    </w:p>
    <w:p w14:paraId="0C0E899A" w14:textId="77777777" w:rsidR="00D61AEC" w:rsidRPr="00D61AEC" w:rsidRDefault="00D61AEC" w:rsidP="00E22080">
      <w:pPr>
        <w:numPr>
          <w:ilvl w:val="0"/>
          <w:numId w:val="18"/>
        </w:numPr>
        <w:pBdr>
          <w:bottom w:val="single" w:sz="6" w:space="1" w:color="auto"/>
        </w:pBdr>
        <w:spacing w:after="120"/>
        <w:ind w:left="360"/>
        <w:rPr>
          <w:rFonts w:eastAsia="SimSun"/>
          <w:i/>
          <w:iCs/>
          <w:sz w:val="20"/>
          <w:szCs w:val="20"/>
          <w:lang w:val="en-GB" w:eastAsia="zh-CN"/>
        </w:rPr>
      </w:pPr>
      <w:r w:rsidRPr="00D61AEC">
        <w:rPr>
          <w:rFonts w:eastAsia="SimSun"/>
          <w:i/>
          <w:iCs/>
          <w:sz w:val="20"/>
          <w:szCs w:val="20"/>
          <w:lang w:val="en-GB" w:eastAsia="zh-CN"/>
        </w:rPr>
        <w:t>Only introduce requirements for non-DRX</w:t>
      </w:r>
    </w:p>
    <w:p w14:paraId="4EE5396F" w14:textId="77777777" w:rsidR="00D61AEC" w:rsidRDefault="00D61AEC" w:rsidP="00FF4A6A">
      <w:pPr>
        <w:jc w:val="both"/>
        <w:rPr>
          <w:sz w:val="22"/>
          <w:szCs w:val="22"/>
          <w:lang w:val="en-GB" w:eastAsia="en-US"/>
        </w:rPr>
      </w:pPr>
    </w:p>
    <w:p w14:paraId="0DE79191" w14:textId="224E743B" w:rsidR="00682493" w:rsidRDefault="001154E6" w:rsidP="00FF4A6A">
      <w:pPr>
        <w:jc w:val="both"/>
        <w:rPr>
          <w:sz w:val="22"/>
          <w:szCs w:val="22"/>
          <w:lang w:val="en-GB" w:eastAsia="en-US"/>
        </w:rPr>
      </w:pPr>
      <w:r w:rsidRPr="001154E6">
        <w:rPr>
          <w:sz w:val="22"/>
          <w:szCs w:val="22"/>
          <w:lang w:val="en-GB" w:eastAsia="en-US"/>
        </w:rPr>
        <w:t xml:space="preserve">One difference is that the </w:t>
      </w:r>
      <w:proofErr w:type="spellStart"/>
      <w:r w:rsidRPr="001154E6">
        <w:rPr>
          <w:sz w:val="22"/>
          <w:szCs w:val="22"/>
          <w:lang w:val="en-GB" w:eastAsia="en-US"/>
        </w:rPr>
        <w:t>mIAB</w:t>
      </w:r>
      <w:proofErr w:type="spellEnd"/>
      <w:r w:rsidRPr="001154E6">
        <w:rPr>
          <w:sz w:val="22"/>
          <w:szCs w:val="22"/>
          <w:lang w:val="en-GB" w:eastAsia="en-US"/>
        </w:rPr>
        <w:t xml:space="preserve">-MT supports 4 SMTCs instead of 2 SMTCs supported by the UE. </w:t>
      </w:r>
      <w:r w:rsidR="00E22080">
        <w:rPr>
          <w:sz w:val="22"/>
          <w:szCs w:val="22"/>
          <w:lang w:val="en-GB" w:eastAsia="en-US"/>
        </w:rPr>
        <w:t>Furthermore, the</w:t>
      </w:r>
      <w:r w:rsidR="0013748F">
        <w:rPr>
          <w:sz w:val="22"/>
          <w:szCs w:val="22"/>
          <w:lang w:val="en-GB" w:eastAsia="en-US"/>
        </w:rPr>
        <w:t xml:space="preserve"> IAB requirements are applicable for FR2-1 as there has not been any agreement </w:t>
      </w:r>
      <w:r w:rsidR="00DE6D20">
        <w:rPr>
          <w:sz w:val="22"/>
          <w:szCs w:val="22"/>
          <w:lang w:val="en-GB" w:eastAsia="en-US"/>
        </w:rPr>
        <w:t xml:space="preserve">for </w:t>
      </w:r>
      <w:proofErr w:type="spellStart"/>
      <w:r w:rsidR="00DE6D20">
        <w:rPr>
          <w:sz w:val="22"/>
          <w:szCs w:val="22"/>
          <w:lang w:val="en-GB" w:eastAsia="en-US"/>
        </w:rPr>
        <w:t>definng</w:t>
      </w:r>
      <w:proofErr w:type="spellEnd"/>
      <w:r w:rsidR="00DE6D20">
        <w:rPr>
          <w:sz w:val="22"/>
          <w:szCs w:val="22"/>
          <w:lang w:val="en-GB" w:eastAsia="en-US"/>
        </w:rPr>
        <w:t xml:space="preserve"> IAB requirements FR2-2 bands. Therefore, the HO </w:t>
      </w:r>
      <w:proofErr w:type="spellStart"/>
      <w:r w:rsidR="00DE6D20">
        <w:rPr>
          <w:sz w:val="22"/>
          <w:szCs w:val="22"/>
          <w:lang w:val="en-GB" w:eastAsia="en-US"/>
        </w:rPr>
        <w:t>HO</w:t>
      </w:r>
      <w:proofErr w:type="spellEnd"/>
      <w:r w:rsidR="00DE6D20">
        <w:rPr>
          <w:sz w:val="22"/>
          <w:szCs w:val="22"/>
          <w:lang w:val="en-GB" w:eastAsia="en-US"/>
        </w:rPr>
        <w:t xml:space="preserve"> requirements for the </w:t>
      </w:r>
      <w:proofErr w:type="spellStart"/>
      <w:r w:rsidR="00DE6D20">
        <w:rPr>
          <w:sz w:val="22"/>
          <w:szCs w:val="22"/>
          <w:lang w:val="en-GB" w:eastAsia="en-US"/>
        </w:rPr>
        <w:t>mIAB</w:t>
      </w:r>
      <w:proofErr w:type="spellEnd"/>
      <w:r w:rsidR="00DE6D20">
        <w:rPr>
          <w:sz w:val="22"/>
          <w:szCs w:val="22"/>
          <w:lang w:val="en-GB" w:eastAsia="en-US"/>
        </w:rPr>
        <w:t xml:space="preserve">-MT should be limited to FR2-1. </w:t>
      </w:r>
    </w:p>
    <w:p w14:paraId="569AE3AB" w14:textId="77777777" w:rsidR="00BE6851" w:rsidRPr="001B3AAB" w:rsidRDefault="00BE6851" w:rsidP="00BE6851">
      <w:pPr>
        <w:pStyle w:val="Heading1"/>
      </w:pPr>
      <w:r>
        <w:t xml:space="preserve">Analysis of </w:t>
      </w:r>
      <w:proofErr w:type="spellStart"/>
      <w:r>
        <w:t>mIAB</w:t>
      </w:r>
      <w:proofErr w:type="spellEnd"/>
      <w:r>
        <w:t xml:space="preserve">-MT </w:t>
      </w:r>
      <w:r w:rsidRPr="00E15039">
        <w:t>RRC connection re-establishment requirements</w:t>
      </w:r>
    </w:p>
    <w:p w14:paraId="514922BD" w14:textId="79BE0D13" w:rsidR="00DE6D20" w:rsidRDefault="00DE6D20" w:rsidP="00DE6D20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The following was agreed regarding the </w:t>
      </w:r>
      <w:r w:rsidRPr="00DE6D20">
        <w:rPr>
          <w:sz w:val="22"/>
          <w:szCs w:val="22"/>
          <w:lang w:val="en-GB" w:eastAsia="en-US"/>
        </w:rPr>
        <w:t>RRC connection re-establishment requirements</w:t>
      </w:r>
      <w:r>
        <w:rPr>
          <w:sz w:val="22"/>
          <w:szCs w:val="22"/>
          <w:lang w:val="en-GB" w:eastAsia="en-US"/>
        </w:rPr>
        <w:t xml:space="preserve"> </w:t>
      </w:r>
      <w:proofErr w:type="spellStart"/>
      <w:r>
        <w:rPr>
          <w:sz w:val="22"/>
          <w:szCs w:val="22"/>
          <w:lang w:val="en-GB" w:eastAsia="en-US"/>
        </w:rPr>
        <w:t>requirements</w:t>
      </w:r>
      <w:proofErr w:type="spellEnd"/>
      <w:r>
        <w:rPr>
          <w:sz w:val="22"/>
          <w:szCs w:val="22"/>
          <w:lang w:val="en-GB" w:eastAsia="en-US"/>
        </w:rPr>
        <w:t xml:space="preserve"> for the </w:t>
      </w:r>
      <w:proofErr w:type="spellStart"/>
      <w:r>
        <w:rPr>
          <w:sz w:val="22"/>
          <w:szCs w:val="22"/>
          <w:lang w:val="en-GB" w:eastAsia="en-US"/>
        </w:rPr>
        <w:t>mIAB</w:t>
      </w:r>
      <w:proofErr w:type="spellEnd"/>
      <w:r>
        <w:rPr>
          <w:sz w:val="22"/>
          <w:szCs w:val="22"/>
          <w:lang w:val="en-GB" w:eastAsia="en-US"/>
        </w:rPr>
        <w:t>-MT [1]:</w:t>
      </w:r>
    </w:p>
    <w:p w14:paraId="6400C7A7" w14:textId="77777777" w:rsidR="00491151" w:rsidRPr="00491151" w:rsidRDefault="00491151" w:rsidP="00491151">
      <w:pPr>
        <w:spacing w:after="180"/>
        <w:rPr>
          <w:rFonts w:eastAsia="SimSun"/>
          <w:b/>
          <w:sz w:val="20"/>
          <w:szCs w:val="20"/>
          <w:u w:val="single"/>
          <w:lang w:val="en-GB" w:eastAsia="ko-KR"/>
        </w:rPr>
      </w:pPr>
    </w:p>
    <w:p w14:paraId="0CF82C8F" w14:textId="77777777" w:rsidR="00491151" w:rsidRPr="00534938" w:rsidRDefault="00491151" w:rsidP="00534938">
      <w:pPr>
        <w:pBdr>
          <w:top w:val="single" w:sz="6" w:space="1" w:color="auto"/>
        </w:pBdr>
        <w:spacing w:after="18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534938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RRC Re-establishment</w:t>
      </w:r>
    </w:p>
    <w:p w14:paraId="44A57A6A" w14:textId="689DBAA9" w:rsidR="00491151" w:rsidRPr="00534938" w:rsidRDefault="00491151" w:rsidP="00534938">
      <w:pPr>
        <w:pStyle w:val="ListParagraph"/>
        <w:numPr>
          <w:ilvl w:val="0"/>
          <w:numId w:val="25"/>
        </w:numPr>
        <w:spacing w:after="120"/>
        <w:rPr>
          <w:rFonts w:ascii="Times New Roman" w:eastAsia="SimSun" w:hAnsi="Times New Roman"/>
          <w:i/>
          <w:iCs/>
          <w:sz w:val="20"/>
          <w:lang w:val="en-GB" w:eastAsia="zh-CN"/>
        </w:rPr>
      </w:pPr>
      <w:r w:rsidRPr="00534938">
        <w:rPr>
          <w:rFonts w:ascii="Times New Roman" w:eastAsia="SimSun" w:hAnsi="Times New Roman"/>
          <w:i/>
          <w:iCs/>
          <w:sz w:val="20"/>
          <w:lang w:val="en-GB" w:eastAsia="zh-CN"/>
        </w:rPr>
        <w:t>Re-use the UE RRC re-establishment requirements in TS 38.133 clause 6.2.1 for the mobile IAB as baseline.</w:t>
      </w:r>
    </w:p>
    <w:p w14:paraId="1B5607FB" w14:textId="77777777" w:rsidR="00491151" w:rsidRPr="00534938" w:rsidRDefault="00491151" w:rsidP="00534938">
      <w:pPr>
        <w:spacing w:before="120" w:after="180"/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</w:pPr>
      <w:r w:rsidRPr="00534938">
        <w:rPr>
          <w:rFonts w:eastAsia="SimSun"/>
          <w:b/>
          <w:i/>
          <w:iCs/>
          <w:sz w:val="20"/>
          <w:szCs w:val="20"/>
          <w:u w:val="single"/>
          <w:lang w:val="en-GB" w:eastAsia="ko-KR"/>
        </w:rPr>
        <w:t>Inter-frequency RRC re-establishment/RRC release with re-direction</w:t>
      </w:r>
    </w:p>
    <w:p w14:paraId="7FAA1C1E" w14:textId="1CCFAAE4" w:rsidR="00491151" w:rsidRPr="00534938" w:rsidRDefault="00491151" w:rsidP="00534938">
      <w:pPr>
        <w:pStyle w:val="ListParagraph"/>
        <w:numPr>
          <w:ilvl w:val="0"/>
          <w:numId w:val="25"/>
        </w:numPr>
        <w:pBdr>
          <w:bottom w:val="single" w:sz="6" w:space="1" w:color="auto"/>
        </w:pBdr>
        <w:spacing w:after="120"/>
        <w:rPr>
          <w:rFonts w:ascii="Times New Roman" w:eastAsia="Yu Mincho" w:hAnsi="Times New Roman"/>
          <w:i/>
          <w:iCs/>
          <w:sz w:val="20"/>
          <w:lang w:val="en-GB" w:eastAsia="ja-JP"/>
        </w:rPr>
      </w:pPr>
      <w:r w:rsidRPr="00534938">
        <w:rPr>
          <w:rFonts w:ascii="Times New Roman" w:eastAsia="Yu Mincho" w:hAnsi="Times New Roman"/>
          <w:i/>
          <w:iCs/>
          <w:sz w:val="20"/>
          <w:lang w:val="en-GB" w:eastAsia="ja-JP"/>
        </w:rPr>
        <w:t>Do not introduce requirements for inter-frequency RRC re-establishment and for RRC release with re-direction</w:t>
      </w:r>
      <w:r w:rsidR="00E15892">
        <w:rPr>
          <w:rFonts w:ascii="Times New Roman" w:eastAsia="Yu Mincho" w:hAnsi="Times New Roman"/>
          <w:i/>
          <w:iCs/>
          <w:sz w:val="20"/>
          <w:lang w:val="en-GB" w:eastAsia="ja-JP"/>
        </w:rPr>
        <w:t>.</w:t>
      </w:r>
    </w:p>
    <w:p w14:paraId="523C2722" w14:textId="77777777" w:rsidR="00491151" w:rsidRDefault="00491151" w:rsidP="00FF4A6A">
      <w:pPr>
        <w:jc w:val="both"/>
        <w:rPr>
          <w:sz w:val="22"/>
          <w:szCs w:val="22"/>
          <w:lang w:val="en-GB" w:eastAsia="en-US"/>
        </w:rPr>
      </w:pPr>
    </w:p>
    <w:p w14:paraId="621528D2" w14:textId="33BB1F4B" w:rsidR="00C17534" w:rsidRPr="00FF4A6A" w:rsidRDefault="00C17534" w:rsidP="00FF4A6A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lastRenderedPageBreak/>
        <w:t xml:space="preserve">Based on the above agreements, the </w:t>
      </w:r>
      <w:r w:rsidRPr="00DE6D20">
        <w:rPr>
          <w:sz w:val="22"/>
          <w:szCs w:val="22"/>
          <w:lang w:val="en-GB" w:eastAsia="en-US"/>
        </w:rPr>
        <w:t>RRC connection re-establishment requirements</w:t>
      </w:r>
      <w:r>
        <w:rPr>
          <w:sz w:val="22"/>
          <w:szCs w:val="22"/>
          <w:lang w:val="en-GB" w:eastAsia="en-US"/>
        </w:rPr>
        <w:t xml:space="preserve"> </w:t>
      </w:r>
      <w:proofErr w:type="spellStart"/>
      <w:r>
        <w:rPr>
          <w:sz w:val="22"/>
          <w:szCs w:val="22"/>
          <w:lang w:val="en-GB" w:eastAsia="en-US"/>
        </w:rPr>
        <w:t>requirements</w:t>
      </w:r>
      <w:proofErr w:type="spellEnd"/>
      <w:r>
        <w:rPr>
          <w:sz w:val="22"/>
          <w:szCs w:val="22"/>
          <w:lang w:val="en-GB" w:eastAsia="en-US"/>
        </w:rPr>
        <w:t xml:space="preserve"> for the </w:t>
      </w:r>
      <w:proofErr w:type="spellStart"/>
      <w:r>
        <w:rPr>
          <w:sz w:val="22"/>
          <w:szCs w:val="22"/>
          <w:lang w:val="en-GB" w:eastAsia="en-US"/>
        </w:rPr>
        <w:t>mIAB</w:t>
      </w:r>
      <w:proofErr w:type="spellEnd"/>
      <w:r>
        <w:rPr>
          <w:sz w:val="22"/>
          <w:szCs w:val="22"/>
          <w:lang w:val="en-GB" w:eastAsia="en-US"/>
        </w:rPr>
        <w:t>-MT should be defined for</w:t>
      </w:r>
      <w:r w:rsidR="00473FE5">
        <w:rPr>
          <w:sz w:val="22"/>
          <w:szCs w:val="22"/>
          <w:lang w:val="en-GB" w:eastAsia="en-US"/>
        </w:rPr>
        <w:t xml:space="preserve"> only NR intra-frequency target cell</w:t>
      </w:r>
      <w:r w:rsidR="00474568">
        <w:rPr>
          <w:sz w:val="22"/>
          <w:szCs w:val="22"/>
          <w:lang w:val="en-GB" w:eastAsia="en-US"/>
        </w:rPr>
        <w:t xml:space="preserve"> and are based on the corresponding UE requirements in TS 38.133. There are few differences </w:t>
      </w:r>
      <w:proofErr w:type="spellStart"/>
      <w:r w:rsidR="00474568">
        <w:rPr>
          <w:sz w:val="22"/>
          <w:szCs w:val="22"/>
          <w:lang w:val="en-GB" w:eastAsia="en-US"/>
        </w:rPr>
        <w:t>wrt</w:t>
      </w:r>
      <w:proofErr w:type="spellEnd"/>
      <w:r w:rsidR="00474568">
        <w:rPr>
          <w:sz w:val="22"/>
          <w:szCs w:val="22"/>
          <w:lang w:val="en-GB" w:eastAsia="en-US"/>
        </w:rPr>
        <w:t xml:space="preserve"> the UE requirements </w:t>
      </w:r>
      <w:r w:rsidR="00DD6858">
        <w:rPr>
          <w:sz w:val="22"/>
          <w:szCs w:val="22"/>
          <w:lang w:val="en-GB" w:eastAsia="en-US"/>
        </w:rPr>
        <w:t xml:space="preserve">which should be considered for the </w:t>
      </w:r>
      <w:proofErr w:type="spellStart"/>
      <w:r w:rsidR="00DD6858">
        <w:rPr>
          <w:sz w:val="22"/>
          <w:szCs w:val="22"/>
          <w:lang w:val="en-GB" w:eastAsia="en-US"/>
        </w:rPr>
        <w:t>mIAB</w:t>
      </w:r>
      <w:proofErr w:type="spellEnd"/>
      <w:r w:rsidR="00DD6858">
        <w:rPr>
          <w:sz w:val="22"/>
          <w:szCs w:val="22"/>
          <w:lang w:val="en-GB" w:eastAsia="en-US"/>
        </w:rPr>
        <w:t xml:space="preserve">-MT. </w:t>
      </w:r>
      <w:r w:rsidR="009C0834">
        <w:rPr>
          <w:sz w:val="22"/>
          <w:szCs w:val="22"/>
          <w:lang w:val="en-GB" w:eastAsia="en-US"/>
        </w:rPr>
        <w:t xml:space="preserve">As stated in the previous section that </w:t>
      </w:r>
      <w:r w:rsidR="00DD6858">
        <w:rPr>
          <w:sz w:val="22"/>
          <w:szCs w:val="22"/>
          <w:lang w:val="en-GB" w:eastAsia="en-US"/>
        </w:rPr>
        <w:t xml:space="preserve">the </w:t>
      </w:r>
      <w:proofErr w:type="spellStart"/>
      <w:r w:rsidR="00DD6858">
        <w:rPr>
          <w:sz w:val="22"/>
          <w:szCs w:val="22"/>
          <w:lang w:val="en-GB" w:eastAsia="en-US"/>
        </w:rPr>
        <w:t>mIAB</w:t>
      </w:r>
      <w:proofErr w:type="spellEnd"/>
      <w:r w:rsidR="00DD6858">
        <w:rPr>
          <w:sz w:val="22"/>
          <w:szCs w:val="22"/>
          <w:lang w:val="en-GB" w:eastAsia="en-US"/>
        </w:rPr>
        <w:t xml:space="preserve">-MT </w:t>
      </w:r>
      <w:r w:rsidR="007C56E6">
        <w:rPr>
          <w:sz w:val="22"/>
          <w:szCs w:val="22"/>
          <w:lang w:val="en-GB" w:eastAsia="en-US"/>
        </w:rPr>
        <w:t xml:space="preserve">supports 4 SMTCs instead of 2 SMTCs supported by the UE. </w:t>
      </w:r>
      <w:r w:rsidR="00711B64">
        <w:rPr>
          <w:sz w:val="22"/>
          <w:szCs w:val="22"/>
          <w:lang w:val="en-GB" w:eastAsia="en-US"/>
        </w:rPr>
        <w:t xml:space="preserve">Another difference is that as </w:t>
      </w:r>
      <w:r w:rsidR="009C0834">
        <w:rPr>
          <w:sz w:val="22"/>
          <w:szCs w:val="22"/>
          <w:lang w:val="en-GB" w:eastAsia="en-US"/>
        </w:rPr>
        <w:t xml:space="preserve">also </w:t>
      </w:r>
      <w:r w:rsidR="00711B64">
        <w:rPr>
          <w:sz w:val="22"/>
          <w:szCs w:val="22"/>
          <w:lang w:val="en-GB" w:eastAsia="en-US"/>
        </w:rPr>
        <w:t>described in the previous section that the IAB requirements are appl</w:t>
      </w:r>
      <w:r w:rsidR="009C5825">
        <w:rPr>
          <w:sz w:val="22"/>
          <w:szCs w:val="22"/>
          <w:lang w:val="en-GB" w:eastAsia="en-US"/>
        </w:rPr>
        <w:t xml:space="preserve">icable to FR2-1 bands only. </w:t>
      </w:r>
    </w:p>
    <w:p w14:paraId="45C1AC25" w14:textId="03A9FAC4" w:rsidR="00CC6F36" w:rsidRPr="001D2FBF" w:rsidRDefault="00CC6F36" w:rsidP="00FF4A6A">
      <w:pPr>
        <w:pStyle w:val="Heading1"/>
        <w:spacing w:before="360"/>
        <w:ind w:left="431" w:hanging="431"/>
      </w:pPr>
      <w:r w:rsidRPr="001D2FBF">
        <w:t>Summary</w:t>
      </w:r>
    </w:p>
    <w:p w14:paraId="51035272" w14:textId="17A5732E" w:rsidR="00EE795A" w:rsidRPr="00555090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555090">
        <w:rPr>
          <w:sz w:val="22"/>
          <w:szCs w:val="22"/>
          <w:lang w:val="en-US"/>
        </w:rPr>
        <w:t xml:space="preserve">The following are the proposals </w:t>
      </w:r>
      <w:r w:rsidR="00F04F49" w:rsidRPr="00555090">
        <w:rPr>
          <w:sz w:val="22"/>
          <w:szCs w:val="22"/>
          <w:lang w:val="en-US"/>
        </w:rPr>
        <w:t xml:space="preserve">related to </w:t>
      </w:r>
      <w:r w:rsidR="000860FC" w:rsidRPr="00555090">
        <w:rPr>
          <w:sz w:val="22"/>
          <w:szCs w:val="22"/>
          <w:lang w:val="en-US"/>
        </w:rPr>
        <w:t>the</w:t>
      </w:r>
      <w:r w:rsidR="00653104">
        <w:rPr>
          <w:sz w:val="22"/>
          <w:szCs w:val="22"/>
          <w:lang w:val="en-US"/>
        </w:rPr>
        <w:t xml:space="preserve"> RRM core requirements for </w:t>
      </w:r>
      <w:proofErr w:type="spellStart"/>
      <w:r w:rsidR="00653104">
        <w:rPr>
          <w:sz w:val="22"/>
          <w:szCs w:val="22"/>
          <w:lang w:val="en-US"/>
        </w:rPr>
        <w:t>mIAB</w:t>
      </w:r>
      <w:proofErr w:type="spellEnd"/>
      <w:r w:rsidR="00653104">
        <w:rPr>
          <w:sz w:val="22"/>
          <w:szCs w:val="22"/>
          <w:lang w:val="en-US"/>
        </w:rPr>
        <w:t>-MT</w:t>
      </w:r>
      <w:r w:rsidR="001C1D0D" w:rsidRPr="00555090">
        <w:rPr>
          <w:sz w:val="22"/>
          <w:szCs w:val="22"/>
          <w:lang w:val="en-US"/>
        </w:rPr>
        <w:t>:</w:t>
      </w:r>
    </w:p>
    <w:p w14:paraId="3D34E270" w14:textId="65C84BB6" w:rsidR="001E06B3" w:rsidRPr="00612171" w:rsidRDefault="00C942BD" w:rsidP="0077660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Proposal #</w:t>
      </w:r>
      <w:r w:rsidR="001E06B3" w:rsidRPr="00555090">
        <w:rPr>
          <w:rFonts w:ascii="Times New Roman" w:hAnsi="Times New Roman"/>
          <w:b/>
          <w:bCs/>
          <w:szCs w:val="22"/>
        </w:rPr>
        <w:t>1</w:t>
      </w:r>
      <w:r w:rsidRPr="00555090">
        <w:rPr>
          <w:rFonts w:ascii="Times New Roman" w:hAnsi="Times New Roman"/>
          <w:szCs w:val="22"/>
        </w:rPr>
        <w:t xml:space="preserve">: </w:t>
      </w:r>
      <w:r w:rsidR="009C5825" w:rsidRPr="009C5825">
        <w:rPr>
          <w:rFonts w:ascii="Times New Roman" w:hAnsi="Times New Roman"/>
          <w:szCs w:val="22"/>
        </w:rPr>
        <w:t xml:space="preserve">The </w:t>
      </w:r>
      <w:r w:rsidR="009C5825">
        <w:rPr>
          <w:rFonts w:ascii="Times New Roman" w:hAnsi="Times New Roman"/>
          <w:szCs w:val="22"/>
        </w:rPr>
        <w:t xml:space="preserve">intra-frequency </w:t>
      </w:r>
      <w:r w:rsidR="00612171">
        <w:rPr>
          <w:rFonts w:ascii="Times New Roman" w:hAnsi="Times New Roman"/>
          <w:szCs w:val="22"/>
        </w:rPr>
        <w:t>HO</w:t>
      </w:r>
      <w:r w:rsidR="009C5825" w:rsidRPr="009C5825">
        <w:rPr>
          <w:rFonts w:ascii="Times New Roman" w:hAnsi="Times New Roman"/>
          <w:szCs w:val="22"/>
        </w:rPr>
        <w:t xml:space="preserve"> </w:t>
      </w:r>
      <w:r w:rsidR="003422C1">
        <w:rPr>
          <w:rFonts w:ascii="Times New Roman" w:hAnsi="Times New Roman"/>
          <w:szCs w:val="22"/>
        </w:rPr>
        <w:t xml:space="preserve">delay </w:t>
      </w:r>
      <w:r w:rsidR="009C5825" w:rsidRPr="009C5825">
        <w:rPr>
          <w:rFonts w:ascii="Times New Roman" w:hAnsi="Times New Roman"/>
          <w:szCs w:val="22"/>
        </w:rPr>
        <w:t xml:space="preserve">requirement </w:t>
      </w:r>
      <w:r w:rsidR="009C5825">
        <w:rPr>
          <w:rFonts w:ascii="Times New Roman" w:hAnsi="Times New Roman"/>
          <w:szCs w:val="22"/>
        </w:rPr>
        <w:t xml:space="preserve">for </w:t>
      </w:r>
      <w:proofErr w:type="spellStart"/>
      <w:r w:rsidR="009C5825">
        <w:rPr>
          <w:rFonts w:ascii="Times New Roman" w:hAnsi="Times New Roman"/>
          <w:szCs w:val="22"/>
        </w:rPr>
        <w:t>mIAB</w:t>
      </w:r>
      <w:proofErr w:type="spellEnd"/>
      <w:r w:rsidR="009C5825">
        <w:rPr>
          <w:rFonts w:ascii="Times New Roman" w:hAnsi="Times New Roman"/>
          <w:szCs w:val="22"/>
        </w:rPr>
        <w:t xml:space="preserve">-MT </w:t>
      </w:r>
      <w:r w:rsidR="00612171">
        <w:rPr>
          <w:rFonts w:ascii="Times New Roman" w:hAnsi="Times New Roman"/>
          <w:szCs w:val="22"/>
        </w:rPr>
        <w:t xml:space="preserve">is defined for </w:t>
      </w:r>
      <w:r w:rsidR="009C5825" w:rsidRPr="009C5825">
        <w:rPr>
          <w:rFonts w:ascii="Times New Roman" w:hAnsi="Times New Roman"/>
          <w:szCs w:val="22"/>
        </w:rPr>
        <w:t>non-DRX</w:t>
      </w:r>
      <w:r w:rsidR="00BC51C9" w:rsidRPr="00555090">
        <w:rPr>
          <w:rFonts w:ascii="Times New Roman" w:hAnsi="Times New Roman"/>
          <w:szCs w:val="22"/>
        </w:rPr>
        <w:t>.</w:t>
      </w:r>
    </w:p>
    <w:p w14:paraId="0847E2F5" w14:textId="28FC3E65" w:rsidR="00612171" w:rsidRPr="00612171" w:rsidRDefault="00612171" w:rsidP="006121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>Proposal #</w:t>
      </w:r>
      <w:r>
        <w:rPr>
          <w:rFonts w:ascii="Times New Roman" w:hAnsi="Times New Roman"/>
          <w:b/>
          <w:bCs/>
          <w:szCs w:val="22"/>
        </w:rPr>
        <w:t>2</w:t>
      </w:r>
      <w:r w:rsidRPr="00555090">
        <w:rPr>
          <w:rFonts w:ascii="Times New Roman" w:hAnsi="Times New Roman"/>
          <w:szCs w:val="22"/>
        </w:rPr>
        <w:t xml:space="preserve">: </w:t>
      </w:r>
      <w:r w:rsidRPr="009C5825">
        <w:rPr>
          <w:rFonts w:ascii="Times New Roman" w:hAnsi="Times New Roman"/>
          <w:szCs w:val="22"/>
        </w:rPr>
        <w:t xml:space="preserve">The </w:t>
      </w:r>
      <w:r w:rsidR="009C0834">
        <w:rPr>
          <w:rFonts w:ascii="Times New Roman" w:hAnsi="Times New Roman"/>
          <w:szCs w:val="22"/>
        </w:rPr>
        <w:t>intra-frequency HO</w:t>
      </w:r>
      <w:r w:rsidR="009C0834" w:rsidRPr="009C5825">
        <w:rPr>
          <w:rFonts w:ascii="Times New Roman" w:hAnsi="Times New Roman"/>
          <w:szCs w:val="22"/>
        </w:rPr>
        <w:t xml:space="preserve"> </w:t>
      </w:r>
      <w:r w:rsidR="009C0834">
        <w:rPr>
          <w:rFonts w:ascii="Times New Roman" w:hAnsi="Times New Roman"/>
          <w:szCs w:val="22"/>
        </w:rPr>
        <w:t xml:space="preserve">and </w:t>
      </w:r>
      <w:r w:rsidRPr="00612171">
        <w:rPr>
          <w:rFonts w:ascii="Times New Roman" w:hAnsi="Times New Roman"/>
          <w:szCs w:val="22"/>
        </w:rPr>
        <w:t xml:space="preserve">RRC connection re-establishment </w:t>
      </w:r>
      <w:r w:rsidRPr="009C5825">
        <w:rPr>
          <w:rFonts w:ascii="Times New Roman" w:hAnsi="Times New Roman"/>
          <w:szCs w:val="22"/>
        </w:rPr>
        <w:t>requirement</w:t>
      </w:r>
      <w:r>
        <w:rPr>
          <w:rFonts w:ascii="Times New Roman" w:hAnsi="Times New Roman"/>
          <w:szCs w:val="22"/>
        </w:rPr>
        <w:t>s</w:t>
      </w:r>
      <w:r w:rsidRPr="009C582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for </w:t>
      </w:r>
      <w:proofErr w:type="spellStart"/>
      <w:r>
        <w:rPr>
          <w:rFonts w:ascii="Times New Roman" w:hAnsi="Times New Roman"/>
          <w:szCs w:val="22"/>
        </w:rPr>
        <w:t>mIAB</w:t>
      </w:r>
      <w:proofErr w:type="spellEnd"/>
      <w:r>
        <w:rPr>
          <w:rFonts w:ascii="Times New Roman" w:hAnsi="Times New Roman"/>
          <w:szCs w:val="22"/>
        </w:rPr>
        <w:t>-MT are defined for up to 4 SMTCs</w:t>
      </w:r>
      <w:r w:rsidRPr="00555090">
        <w:rPr>
          <w:rFonts w:ascii="Times New Roman" w:hAnsi="Times New Roman"/>
          <w:szCs w:val="22"/>
        </w:rPr>
        <w:t>.</w:t>
      </w:r>
    </w:p>
    <w:p w14:paraId="5AA70C89" w14:textId="6206D559" w:rsidR="00612171" w:rsidRPr="00612171" w:rsidRDefault="00612171" w:rsidP="0061217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555090">
        <w:rPr>
          <w:rFonts w:ascii="Times New Roman" w:hAnsi="Times New Roman"/>
          <w:b/>
          <w:bCs/>
          <w:szCs w:val="22"/>
        </w:rPr>
        <w:t xml:space="preserve">Proposal </w:t>
      </w:r>
      <w:r>
        <w:rPr>
          <w:rFonts w:ascii="Times New Roman" w:hAnsi="Times New Roman"/>
          <w:b/>
          <w:bCs/>
          <w:szCs w:val="22"/>
        </w:rPr>
        <w:t>3</w:t>
      </w:r>
      <w:r w:rsidRPr="00555090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 xml:space="preserve">Both intra-frequency HO and </w:t>
      </w:r>
      <w:r w:rsidRPr="00612171">
        <w:rPr>
          <w:rFonts w:ascii="Times New Roman" w:hAnsi="Times New Roman"/>
          <w:szCs w:val="22"/>
        </w:rPr>
        <w:t xml:space="preserve">RRC connection re-establishment </w:t>
      </w:r>
      <w:r w:rsidRPr="009C5825">
        <w:rPr>
          <w:rFonts w:ascii="Times New Roman" w:hAnsi="Times New Roman"/>
          <w:szCs w:val="22"/>
        </w:rPr>
        <w:t>requirement</w:t>
      </w:r>
      <w:r>
        <w:rPr>
          <w:rFonts w:ascii="Times New Roman" w:hAnsi="Times New Roman"/>
          <w:szCs w:val="22"/>
        </w:rPr>
        <w:t>s</w:t>
      </w:r>
      <w:r w:rsidRPr="009C582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for </w:t>
      </w:r>
      <w:proofErr w:type="spellStart"/>
      <w:r>
        <w:rPr>
          <w:rFonts w:ascii="Times New Roman" w:hAnsi="Times New Roman"/>
          <w:szCs w:val="22"/>
        </w:rPr>
        <w:t>mIAB</w:t>
      </w:r>
      <w:proofErr w:type="spellEnd"/>
      <w:r>
        <w:rPr>
          <w:rFonts w:ascii="Times New Roman" w:hAnsi="Times New Roman"/>
          <w:szCs w:val="22"/>
        </w:rPr>
        <w:t>-MT are applicable to only FR2-1 bands</w:t>
      </w:r>
      <w:r w:rsidRPr="00555090">
        <w:rPr>
          <w:rFonts w:ascii="Times New Roman" w:hAnsi="Times New Roman"/>
          <w:szCs w:val="22"/>
        </w:rPr>
        <w:t>.</w:t>
      </w:r>
    </w:p>
    <w:p w14:paraId="7DE8D54F" w14:textId="02AB1FEA" w:rsidR="001E06B3" w:rsidRPr="00682493" w:rsidRDefault="00612171" w:rsidP="00682493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1E06B3" w:rsidRPr="00555090">
        <w:rPr>
          <w:sz w:val="22"/>
          <w:szCs w:val="22"/>
        </w:rPr>
        <w:t xml:space="preserve">draft </w:t>
      </w:r>
      <w:r w:rsidR="005D544D">
        <w:rPr>
          <w:sz w:val="22"/>
          <w:szCs w:val="22"/>
        </w:rPr>
        <w:t>CR</w:t>
      </w:r>
      <w:r w:rsidR="001E06B3" w:rsidRPr="005550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introducing </w:t>
      </w:r>
      <w:r w:rsidRPr="00612171">
        <w:rPr>
          <w:sz w:val="22"/>
          <w:szCs w:val="22"/>
        </w:rPr>
        <w:t>intra-frequency HO and RRC re-establishment requirements for mIAB</w:t>
      </w:r>
      <w:r>
        <w:rPr>
          <w:sz w:val="22"/>
          <w:szCs w:val="22"/>
        </w:rPr>
        <w:t xml:space="preserve">-MT </w:t>
      </w:r>
      <w:r w:rsidR="001E06B3" w:rsidRPr="00555090">
        <w:rPr>
          <w:sz w:val="22"/>
          <w:szCs w:val="22"/>
        </w:rPr>
        <w:t xml:space="preserve">is </w:t>
      </w:r>
      <w:r w:rsidR="005D544D">
        <w:rPr>
          <w:sz w:val="22"/>
          <w:szCs w:val="22"/>
        </w:rPr>
        <w:t>provided in [</w:t>
      </w:r>
      <w:r>
        <w:rPr>
          <w:sz w:val="22"/>
          <w:szCs w:val="22"/>
        </w:rPr>
        <w:t>3</w:t>
      </w:r>
      <w:r w:rsidR="005D544D">
        <w:rPr>
          <w:sz w:val="22"/>
          <w:szCs w:val="22"/>
        </w:rPr>
        <w:t>]</w:t>
      </w:r>
      <w:r w:rsidR="001E06B3" w:rsidRPr="00555090">
        <w:rPr>
          <w:sz w:val="22"/>
          <w:szCs w:val="22"/>
        </w:rPr>
        <w:t>.</w:t>
      </w:r>
    </w:p>
    <w:p w14:paraId="4F407A74" w14:textId="6434A191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280D4D44" w14:textId="2F16C3E2" w:rsid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R4-231008</w:t>
      </w:r>
      <w:r w:rsidR="00E44329">
        <w:rPr>
          <w:rFonts w:ascii="Times New Roman" w:hAnsi="Times New Roman"/>
          <w:sz w:val="20"/>
          <w:szCs w:val="20"/>
        </w:rPr>
        <w:t xml:space="preserve">5, </w:t>
      </w:r>
      <w:r w:rsidR="00AB3D28" w:rsidRPr="00AB3D28">
        <w:rPr>
          <w:rFonts w:ascii="Times New Roman" w:hAnsi="Times New Roman"/>
          <w:sz w:val="20"/>
          <w:szCs w:val="20"/>
        </w:rPr>
        <w:t>WF on NR mobile IAB RRM requirements</w:t>
      </w:r>
      <w:r w:rsidRPr="00682493">
        <w:rPr>
          <w:rFonts w:ascii="Times New Roman" w:hAnsi="Times New Roman"/>
          <w:sz w:val="20"/>
          <w:szCs w:val="20"/>
        </w:rPr>
        <w:t xml:space="preserve">, </w:t>
      </w:r>
      <w:r w:rsidR="00AB3D28">
        <w:rPr>
          <w:rFonts w:ascii="Times New Roman" w:hAnsi="Times New Roman"/>
          <w:sz w:val="20"/>
          <w:szCs w:val="20"/>
        </w:rPr>
        <w:t>Qualcomm</w:t>
      </w:r>
      <w:r w:rsidR="00607932">
        <w:rPr>
          <w:rFonts w:ascii="Times New Roman" w:hAnsi="Times New Roman"/>
          <w:sz w:val="20"/>
          <w:szCs w:val="20"/>
        </w:rPr>
        <w:t>.</w:t>
      </w:r>
    </w:p>
    <w:p w14:paraId="2DC7C99F" w14:textId="29CCB069" w:rsidR="00607932" w:rsidRPr="00682493" w:rsidRDefault="00607932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07932">
        <w:rPr>
          <w:rFonts w:ascii="Times New Roman" w:hAnsi="Times New Roman"/>
          <w:sz w:val="20"/>
          <w:szCs w:val="20"/>
        </w:rPr>
        <w:t>R4-2306368, WF on Mobile IAB RRM requirements, Qualcomm</w:t>
      </w:r>
      <w:r>
        <w:rPr>
          <w:rFonts w:ascii="Times New Roman" w:hAnsi="Times New Roman"/>
          <w:sz w:val="20"/>
          <w:szCs w:val="20"/>
        </w:rPr>
        <w:t>.</w:t>
      </w:r>
    </w:p>
    <w:p w14:paraId="6DA471C0" w14:textId="5EAFC828" w:rsidR="00682493" w:rsidRPr="00682493" w:rsidRDefault="00682493" w:rsidP="00682493">
      <w:pPr>
        <w:pStyle w:val="ListParagraph"/>
        <w:numPr>
          <w:ilvl w:val="0"/>
          <w:numId w:val="1"/>
        </w:numPr>
        <w:spacing w:before="120"/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682493">
        <w:rPr>
          <w:rFonts w:ascii="Times New Roman" w:hAnsi="Times New Roman"/>
          <w:sz w:val="20"/>
          <w:szCs w:val="20"/>
        </w:rPr>
        <w:t>R4-23</w:t>
      </w:r>
      <w:r w:rsidR="00C4525D">
        <w:rPr>
          <w:rFonts w:ascii="Times New Roman" w:hAnsi="Times New Roman"/>
          <w:sz w:val="20"/>
          <w:szCs w:val="20"/>
        </w:rPr>
        <w:t>13520</w:t>
      </w:r>
      <w:r>
        <w:rPr>
          <w:rFonts w:ascii="Times New Roman" w:hAnsi="Times New Roman"/>
          <w:sz w:val="20"/>
          <w:szCs w:val="20"/>
        </w:rPr>
        <w:t xml:space="preserve">, </w:t>
      </w:r>
      <w:r w:rsidR="006C31F0" w:rsidRPr="006C31F0">
        <w:rPr>
          <w:rFonts w:ascii="Times New Roman" w:hAnsi="Times New Roman"/>
          <w:sz w:val="20"/>
          <w:szCs w:val="20"/>
        </w:rPr>
        <w:t>Draft CR on intra-frequency HO and RRC re-establishment requirements for mobile IAB</w:t>
      </w:r>
      <w:r w:rsidRPr="00682493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>Ericsson.</w:t>
      </w:r>
    </w:p>
    <w:sectPr w:rsidR="00682493" w:rsidRPr="0068249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6A54E" w14:textId="77777777" w:rsidR="004464B2" w:rsidRDefault="004464B2">
      <w:r>
        <w:separator/>
      </w:r>
    </w:p>
  </w:endnote>
  <w:endnote w:type="continuationSeparator" w:id="0">
    <w:p w14:paraId="16098A9B" w14:textId="77777777" w:rsidR="004464B2" w:rsidRDefault="00446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DA290" w14:textId="77777777" w:rsidR="004464B2" w:rsidRDefault="004464B2">
      <w:r>
        <w:separator/>
      </w:r>
    </w:p>
  </w:footnote>
  <w:footnote w:type="continuationSeparator" w:id="0">
    <w:p w14:paraId="7FE861EE" w14:textId="77777777" w:rsidR="004464B2" w:rsidRDefault="00446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055041"/>
    <w:multiLevelType w:val="hybridMultilevel"/>
    <w:tmpl w:val="137E0A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27645758"/>
    <w:multiLevelType w:val="hybridMultilevel"/>
    <w:tmpl w:val="04709D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6936157"/>
    <w:multiLevelType w:val="hybridMultilevel"/>
    <w:tmpl w:val="07B88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ECB6922"/>
    <w:multiLevelType w:val="hybridMultilevel"/>
    <w:tmpl w:val="00E00F54"/>
    <w:lvl w:ilvl="0" w:tplc="9C64208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7D271D51"/>
    <w:multiLevelType w:val="hybridMultilevel"/>
    <w:tmpl w:val="4D62405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8"/>
  </w:num>
  <w:num w:numId="3" w16cid:durableId="725566577">
    <w:abstractNumId w:val="23"/>
  </w:num>
  <w:num w:numId="4" w16cid:durableId="143742459">
    <w:abstractNumId w:val="2"/>
  </w:num>
  <w:num w:numId="5" w16cid:durableId="1152676588">
    <w:abstractNumId w:val="21"/>
  </w:num>
  <w:num w:numId="6" w16cid:durableId="1240095646">
    <w:abstractNumId w:val="17"/>
  </w:num>
  <w:num w:numId="7" w16cid:durableId="1429041376">
    <w:abstractNumId w:val="14"/>
  </w:num>
  <w:num w:numId="8" w16cid:durableId="338432492">
    <w:abstractNumId w:val="5"/>
  </w:num>
  <w:num w:numId="9" w16cid:durableId="1868911749">
    <w:abstractNumId w:val="15"/>
  </w:num>
  <w:num w:numId="10" w16cid:durableId="560484850">
    <w:abstractNumId w:val="13"/>
  </w:num>
  <w:num w:numId="11" w16cid:durableId="710034300">
    <w:abstractNumId w:val="22"/>
  </w:num>
  <w:num w:numId="12" w16cid:durableId="934243497">
    <w:abstractNumId w:val="24"/>
  </w:num>
  <w:num w:numId="13" w16cid:durableId="1101608941">
    <w:abstractNumId w:val="7"/>
  </w:num>
  <w:num w:numId="14" w16cid:durableId="70784859">
    <w:abstractNumId w:val="9"/>
  </w:num>
  <w:num w:numId="15" w16cid:durableId="2063825361">
    <w:abstractNumId w:val="0"/>
  </w:num>
  <w:num w:numId="16" w16cid:durableId="300890497">
    <w:abstractNumId w:val="16"/>
  </w:num>
  <w:num w:numId="17" w16cid:durableId="1331133081">
    <w:abstractNumId w:val="4"/>
  </w:num>
  <w:num w:numId="18" w16cid:durableId="1805661759">
    <w:abstractNumId w:val="18"/>
  </w:num>
  <w:num w:numId="19" w16cid:durableId="398017007">
    <w:abstractNumId w:val="1"/>
  </w:num>
  <w:num w:numId="20" w16cid:durableId="607933487">
    <w:abstractNumId w:val="11"/>
  </w:num>
  <w:num w:numId="21" w16cid:durableId="1893080643">
    <w:abstractNumId w:val="10"/>
  </w:num>
  <w:num w:numId="22" w16cid:durableId="1485314112">
    <w:abstractNumId w:val="20"/>
  </w:num>
  <w:num w:numId="23" w16cid:durableId="1539005420">
    <w:abstractNumId w:val="19"/>
  </w:num>
  <w:num w:numId="24" w16cid:durableId="100881528">
    <w:abstractNumId w:val="12"/>
  </w:num>
  <w:num w:numId="25" w16cid:durableId="421073586">
    <w:abstractNumId w:val="25"/>
  </w:num>
  <w:num w:numId="26" w16cid:durableId="159235105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422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C42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327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37B8"/>
    <w:rsid w:val="0005410F"/>
    <w:rsid w:val="000543BC"/>
    <w:rsid w:val="00054501"/>
    <w:rsid w:val="0005475E"/>
    <w:rsid w:val="000549C2"/>
    <w:rsid w:val="00055E7A"/>
    <w:rsid w:val="00056B58"/>
    <w:rsid w:val="00057F2B"/>
    <w:rsid w:val="000600A8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2BF"/>
    <w:rsid w:val="000877E7"/>
    <w:rsid w:val="00087BDE"/>
    <w:rsid w:val="00087C28"/>
    <w:rsid w:val="00090D64"/>
    <w:rsid w:val="00090F9D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5D5"/>
    <w:rsid w:val="000B5831"/>
    <w:rsid w:val="000B58A1"/>
    <w:rsid w:val="000B5DBE"/>
    <w:rsid w:val="000B5E32"/>
    <w:rsid w:val="000B6531"/>
    <w:rsid w:val="000B687D"/>
    <w:rsid w:val="000B6A75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191"/>
    <w:rsid w:val="000E2319"/>
    <w:rsid w:val="000E2999"/>
    <w:rsid w:val="000E2A03"/>
    <w:rsid w:val="000E30B4"/>
    <w:rsid w:val="000E337F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E7D66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0C4"/>
    <w:rsid w:val="001002AF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4E6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3748F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00C4"/>
    <w:rsid w:val="001610A7"/>
    <w:rsid w:val="001611A6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44D5"/>
    <w:rsid w:val="0019617D"/>
    <w:rsid w:val="001963B4"/>
    <w:rsid w:val="00196637"/>
    <w:rsid w:val="00196AB9"/>
    <w:rsid w:val="00196C1E"/>
    <w:rsid w:val="00196C58"/>
    <w:rsid w:val="00196CCD"/>
    <w:rsid w:val="00196D39"/>
    <w:rsid w:val="00197030"/>
    <w:rsid w:val="001973FB"/>
    <w:rsid w:val="00197F50"/>
    <w:rsid w:val="001A0007"/>
    <w:rsid w:val="001A0C1E"/>
    <w:rsid w:val="001A16E4"/>
    <w:rsid w:val="001A1C85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1B4B"/>
    <w:rsid w:val="001B27D9"/>
    <w:rsid w:val="001B285A"/>
    <w:rsid w:val="001B3363"/>
    <w:rsid w:val="001B3451"/>
    <w:rsid w:val="001B3AAB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EA5"/>
    <w:rsid w:val="001C5F5E"/>
    <w:rsid w:val="001C6580"/>
    <w:rsid w:val="001C6CF0"/>
    <w:rsid w:val="001C6DBB"/>
    <w:rsid w:val="001C6F09"/>
    <w:rsid w:val="001C733A"/>
    <w:rsid w:val="001C7A38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2E1"/>
    <w:rsid w:val="001D6AEA"/>
    <w:rsid w:val="001D6B68"/>
    <w:rsid w:val="001D760C"/>
    <w:rsid w:val="001D7B41"/>
    <w:rsid w:val="001D7E97"/>
    <w:rsid w:val="001E063C"/>
    <w:rsid w:val="001E06B3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4D62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3F6A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19B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C1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3A05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B74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BA9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770"/>
    <w:rsid w:val="002D3E0E"/>
    <w:rsid w:val="002D3F64"/>
    <w:rsid w:val="002D447B"/>
    <w:rsid w:val="002D502E"/>
    <w:rsid w:val="002D5098"/>
    <w:rsid w:val="002D5E0F"/>
    <w:rsid w:val="002D5E25"/>
    <w:rsid w:val="002D6025"/>
    <w:rsid w:val="002D643C"/>
    <w:rsid w:val="002D75CB"/>
    <w:rsid w:val="002D79AD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46C7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2C1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67C4D"/>
    <w:rsid w:val="003707D3"/>
    <w:rsid w:val="00370C2C"/>
    <w:rsid w:val="003712D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068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BA7"/>
    <w:rsid w:val="003B2FBC"/>
    <w:rsid w:val="003B35EF"/>
    <w:rsid w:val="003B360F"/>
    <w:rsid w:val="003B374F"/>
    <w:rsid w:val="003B3BF5"/>
    <w:rsid w:val="003B3DC3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4A1"/>
    <w:rsid w:val="003D4986"/>
    <w:rsid w:val="003D54FA"/>
    <w:rsid w:val="003D5B65"/>
    <w:rsid w:val="003D600F"/>
    <w:rsid w:val="003D6541"/>
    <w:rsid w:val="003D66EB"/>
    <w:rsid w:val="003D6838"/>
    <w:rsid w:val="003D716B"/>
    <w:rsid w:val="003D72ED"/>
    <w:rsid w:val="003E0222"/>
    <w:rsid w:val="003E0E5A"/>
    <w:rsid w:val="003E1244"/>
    <w:rsid w:val="003E149A"/>
    <w:rsid w:val="003E1A36"/>
    <w:rsid w:val="003E1AF7"/>
    <w:rsid w:val="003E1F7B"/>
    <w:rsid w:val="003E22F9"/>
    <w:rsid w:val="003E2ABF"/>
    <w:rsid w:val="003E316D"/>
    <w:rsid w:val="003E34C7"/>
    <w:rsid w:val="003E3DD4"/>
    <w:rsid w:val="003E45B9"/>
    <w:rsid w:val="003E471D"/>
    <w:rsid w:val="003E4D3E"/>
    <w:rsid w:val="003E5AD5"/>
    <w:rsid w:val="003E5D3B"/>
    <w:rsid w:val="003E62BF"/>
    <w:rsid w:val="003E6549"/>
    <w:rsid w:val="003E6EB4"/>
    <w:rsid w:val="003E705F"/>
    <w:rsid w:val="003E7131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51D6"/>
    <w:rsid w:val="003F62C6"/>
    <w:rsid w:val="003F6402"/>
    <w:rsid w:val="003F67C1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25"/>
    <w:rsid w:val="00420051"/>
    <w:rsid w:val="00420C31"/>
    <w:rsid w:val="00422350"/>
    <w:rsid w:val="00422F72"/>
    <w:rsid w:val="0042343D"/>
    <w:rsid w:val="0042414F"/>
    <w:rsid w:val="004242F1"/>
    <w:rsid w:val="0042487B"/>
    <w:rsid w:val="00424EB9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B10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4B2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3FE5"/>
    <w:rsid w:val="00474568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424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1151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5FD9"/>
    <w:rsid w:val="004969C6"/>
    <w:rsid w:val="00496A12"/>
    <w:rsid w:val="00496DE9"/>
    <w:rsid w:val="004970C2"/>
    <w:rsid w:val="00497E18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0F8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6F79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547"/>
    <w:rsid w:val="004F48A4"/>
    <w:rsid w:val="004F4AAA"/>
    <w:rsid w:val="004F5209"/>
    <w:rsid w:val="004F5851"/>
    <w:rsid w:val="004F5902"/>
    <w:rsid w:val="004F5C4C"/>
    <w:rsid w:val="004F5E4F"/>
    <w:rsid w:val="004F61F5"/>
    <w:rsid w:val="004F71B4"/>
    <w:rsid w:val="004F762E"/>
    <w:rsid w:val="00500308"/>
    <w:rsid w:val="0050069B"/>
    <w:rsid w:val="00500BE1"/>
    <w:rsid w:val="00501328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148"/>
    <w:rsid w:val="00527DA8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938"/>
    <w:rsid w:val="00534A0D"/>
    <w:rsid w:val="00534FAF"/>
    <w:rsid w:val="005353F0"/>
    <w:rsid w:val="00535498"/>
    <w:rsid w:val="005355E4"/>
    <w:rsid w:val="005365AB"/>
    <w:rsid w:val="00537014"/>
    <w:rsid w:val="005370B3"/>
    <w:rsid w:val="00537275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110"/>
    <w:rsid w:val="005453BE"/>
    <w:rsid w:val="0054560A"/>
    <w:rsid w:val="0054562C"/>
    <w:rsid w:val="005458D3"/>
    <w:rsid w:val="00545ED6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090"/>
    <w:rsid w:val="005552C0"/>
    <w:rsid w:val="00555D64"/>
    <w:rsid w:val="00556074"/>
    <w:rsid w:val="00556841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1CA5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CE2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44D"/>
    <w:rsid w:val="005D5D90"/>
    <w:rsid w:val="005D639B"/>
    <w:rsid w:val="005D64FF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4E70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ABB"/>
    <w:rsid w:val="00600EF9"/>
    <w:rsid w:val="00601005"/>
    <w:rsid w:val="0060112A"/>
    <w:rsid w:val="006017EF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932"/>
    <w:rsid w:val="00607BF2"/>
    <w:rsid w:val="00607ECA"/>
    <w:rsid w:val="00610135"/>
    <w:rsid w:val="006104FA"/>
    <w:rsid w:val="0061114D"/>
    <w:rsid w:val="00611667"/>
    <w:rsid w:val="006116A7"/>
    <w:rsid w:val="00612171"/>
    <w:rsid w:val="006125D5"/>
    <w:rsid w:val="00613657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5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104"/>
    <w:rsid w:val="0065341D"/>
    <w:rsid w:val="006535C9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6EF"/>
    <w:rsid w:val="00665A12"/>
    <w:rsid w:val="00666209"/>
    <w:rsid w:val="006663D5"/>
    <w:rsid w:val="00666678"/>
    <w:rsid w:val="00666B2A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016"/>
    <w:rsid w:val="00677337"/>
    <w:rsid w:val="00677D04"/>
    <w:rsid w:val="00677DD1"/>
    <w:rsid w:val="00681593"/>
    <w:rsid w:val="00681AC4"/>
    <w:rsid w:val="00682493"/>
    <w:rsid w:val="00682C60"/>
    <w:rsid w:val="00683126"/>
    <w:rsid w:val="00683937"/>
    <w:rsid w:val="006845A8"/>
    <w:rsid w:val="006849CE"/>
    <w:rsid w:val="006850E9"/>
    <w:rsid w:val="006851BA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0C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1F0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0B7B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B7"/>
    <w:rsid w:val="0071102F"/>
    <w:rsid w:val="00711447"/>
    <w:rsid w:val="0071176A"/>
    <w:rsid w:val="00711B64"/>
    <w:rsid w:val="00711CD7"/>
    <w:rsid w:val="007120AE"/>
    <w:rsid w:val="007120F4"/>
    <w:rsid w:val="00712384"/>
    <w:rsid w:val="00712B09"/>
    <w:rsid w:val="00712C57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A26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6B8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601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54B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510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2F07"/>
    <w:rsid w:val="0081307E"/>
    <w:rsid w:val="008136B4"/>
    <w:rsid w:val="00814367"/>
    <w:rsid w:val="00814A8C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8A2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1FDF"/>
    <w:rsid w:val="0086253C"/>
    <w:rsid w:val="008626E7"/>
    <w:rsid w:val="008629CE"/>
    <w:rsid w:val="00862D95"/>
    <w:rsid w:val="00862F3D"/>
    <w:rsid w:val="00862FBF"/>
    <w:rsid w:val="00863090"/>
    <w:rsid w:val="0086405C"/>
    <w:rsid w:val="008642A7"/>
    <w:rsid w:val="0086487D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05C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4D4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09F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168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1CC8"/>
    <w:rsid w:val="009828FE"/>
    <w:rsid w:val="00982BD6"/>
    <w:rsid w:val="009837FE"/>
    <w:rsid w:val="0098506F"/>
    <w:rsid w:val="00985260"/>
    <w:rsid w:val="0098543A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BB6"/>
    <w:rsid w:val="00992E1A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60A"/>
    <w:rsid w:val="009B1A5B"/>
    <w:rsid w:val="009B1AF2"/>
    <w:rsid w:val="009B2AC7"/>
    <w:rsid w:val="009B2C74"/>
    <w:rsid w:val="009B4083"/>
    <w:rsid w:val="009B409E"/>
    <w:rsid w:val="009B4619"/>
    <w:rsid w:val="009B48B7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834"/>
    <w:rsid w:val="009C0D95"/>
    <w:rsid w:val="009C1776"/>
    <w:rsid w:val="009C2F19"/>
    <w:rsid w:val="009C3156"/>
    <w:rsid w:val="009C408C"/>
    <w:rsid w:val="009C4284"/>
    <w:rsid w:val="009C429D"/>
    <w:rsid w:val="009C5825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C2D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4EFA"/>
    <w:rsid w:val="00A1561E"/>
    <w:rsid w:val="00A15D3B"/>
    <w:rsid w:val="00A1604C"/>
    <w:rsid w:val="00A16D7D"/>
    <w:rsid w:val="00A16F08"/>
    <w:rsid w:val="00A17FF8"/>
    <w:rsid w:val="00A20261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062F"/>
    <w:rsid w:val="00A412D5"/>
    <w:rsid w:val="00A41F5E"/>
    <w:rsid w:val="00A42282"/>
    <w:rsid w:val="00A42D9F"/>
    <w:rsid w:val="00A4318C"/>
    <w:rsid w:val="00A432B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57FEF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6F77"/>
    <w:rsid w:val="00A6723E"/>
    <w:rsid w:val="00A679EC"/>
    <w:rsid w:val="00A67D8A"/>
    <w:rsid w:val="00A67DF5"/>
    <w:rsid w:val="00A7003F"/>
    <w:rsid w:val="00A700BF"/>
    <w:rsid w:val="00A70B1D"/>
    <w:rsid w:val="00A7172B"/>
    <w:rsid w:val="00A718A1"/>
    <w:rsid w:val="00A719DC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B22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1A3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D28"/>
    <w:rsid w:val="00AB3FEE"/>
    <w:rsid w:val="00AB475E"/>
    <w:rsid w:val="00AB4B55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422"/>
    <w:rsid w:val="00AD15EE"/>
    <w:rsid w:val="00AD1CD8"/>
    <w:rsid w:val="00AD1D9E"/>
    <w:rsid w:val="00AD2AD9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1E78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4D7D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181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CB9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583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220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24D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1C9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304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6851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5AA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34"/>
    <w:rsid w:val="00C1754C"/>
    <w:rsid w:val="00C17E7B"/>
    <w:rsid w:val="00C20A0B"/>
    <w:rsid w:val="00C220AF"/>
    <w:rsid w:val="00C220B7"/>
    <w:rsid w:val="00C225BF"/>
    <w:rsid w:val="00C230D0"/>
    <w:rsid w:val="00C23A0F"/>
    <w:rsid w:val="00C24934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25D"/>
    <w:rsid w:val="00C45386"/>
    <w:rsid w:val="00C45472"/>
    <w:rsid w:val="00C4612B"/>
    <w:rsid w:val="00C503BF"/>
    <w:rsid w:val="00C50450"/>
    <w:rsid w:val="00C50EB1"/>
    <w:rsid w:val="00C51210"/>
    <w:rsid w:val="00C51263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530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BB7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39C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0DC"/>
    <w:rsid w:val="00C9423F"/>
    <w:rsid w:val="00C942BD"/>
    <w:rsid w:val="00C94506"/>
    <w:rsid w:val="00C95345"/>
    <w:rsid w:val="00C955F4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663B"/>
    <w:rsid w:val="00CA7CCF"/>
    <w:rsid w:val="00CB09C2"/>
    <w:rsid w:val="00CB17DC"/>
    <w:rsid w:val="00CB1C5D"/>
    <w:rsid w:val="00CB1F4A"/>
    <w:rsid w:val="00CB265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D93"/>
    <w:rsid w:val="00CB7E03"/>
    <w:rsid w:val="00CC0DB6"/>
    <w:rsid w:val="00CC1D95"/>
    <w:rsid w:val="00CC1F42"/>
    <w:rsid w:val="00CC216E"/>
    <w:rsid w:val="00CC3083"/>
    <w:rsid w:val="00CC3BCA"/>
    <w:rsid w:val="00CC4174"/>
    <w:rsid w:val="00CC4617"/>
    <w:rsid w:val="00CC4DD7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59E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1BE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E6"/>
    <w:rsid w:val="00D44E67"/>
    <w:rsid w:val="00D4520E"/>
    <w:rsid w:val="00D45372"/>
    <w:rsid w:val="00D468B0"/>
    <w:rsid w:val="00D46C9A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B6A"/>
    <w:rsid w:val="00D57C80"/>
    <w:rsid w:val="00D57FD6"/>
    <w:rsid w:val="00D60749"/>
    <w:rsid w:val="00D61AEC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2AD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81C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4C6"/>
    <w:rsid w:val="00D92E58"/>
    <w:rsid w:val="00D92FCB"/>
    <w:rsid w:val="00D93136"/>
    <w:rsid w:val="00D93CE7"/>
    <w:rsid w:val="00D93DA4"/>
    <w:rsid w:val="00D94335"/>
    <w:rsid w:val="00D94531"/>
    <w:rsid w:val="00D94B7E"/>
    <w:rsid w:val="00D94EE8"/>
    <w:rsid w:val="00D94F41"/>
    <w:rsid w:val="00D9718D"/>
    <w:rsid w:val="00D972BD"/>
    <w:rsid w:val="00DA0FB8"/>
    <w:rsid w:val="00DA11EB"/>
    <w:rsid w:val="00DA310E"/>
    <w:rsid w:val="00DA3DD1"/>
    <w:rsid w:val="00DA40B8"/>
    <w:rsid w:val="00DA41E9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4C5"/>
    <w:rsid w:val="00DD2737"/>
    <w:rsid w:val="00DD2AA9"/>
    <w:rsid w:val="00DD3603"/>
    <w:rsid w:val="00DD3A71"/>
    <w:rsid w:val="00DD4B3C"/>
    <w:rsid w:val="00DD54AC"/>
    <w:rsid w:val="00DD6720"/>
    <w:rsid w:val="00DD6858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D2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8EF"/>
    <w:rsid w:val="00E04BD9"/>
    <w:rsid w:val="00E050C7"/>
    <w:rsid w:val="00E051A2"/>
    <w:rsid w:val="00E0525D"/>
    <w:rsid w:val="00E0569C"/>
    <w:rsid w:val="00E05D99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039"/>
    <w:rsid w:val="00E15359"/>
    <w:rsid w:val="00E15361"/>
    <w:rsid w:val="00E1539B"/>
    <w:rsid w:val="00E157A1"/>
    <w:rsid w:val="00E157CD"/>
    <w:rsid w:val="00E15892"/>
    <w:rsid w:val="00E15AC9"/>
    <w:rsid w:val="00E16778"/>
    <w:rsid w:val="00E17114"/>
    <w:rsid w:val="00E1758F"/>
    <w:rsid w:val="00E179CE"/>
    <w:rsid w:val="00E17F71"/>
    <w:rsid w:val="00E201BA"/>
    <w:rsid w:val="00E20569"/>
    <w:rsid w:val="00E2059D"/>
    <w:rsid w:val="00E20AB3"/>
    <w:rsid w:val="00E20C7F"/>
    <w:rsid w:val="00E20C95"/>
    <w:rsid w:val="00E21F76"/>
    <w:rsid w:val="00E22080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6C5A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29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97B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A6D"/>
    <w:rsid w:val="00EF1DB7"/>
    <w:rsid w:val="00EF21B4"/>
    <w:rsid w:val="00EF2917"/>
    <w:rsid w:val="00EF2AD1"/>
    <w:rsid w:val="00EF3078"/>
    <w:rsid w:val="00EF3306"/>
    <w:rsid w:val="00EF4090"/>
    <w:rsid w:val="00EF42EB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8F4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AF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CCE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2E2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8765E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27F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0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21B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955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2E3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E9F"/>
    <w:rsid w:val="00FE38A9"/>
    <w:rsid w:val="00FE3913"/>
    <w:rsid w:val="00FE4236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4A6A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503</Words>
  <Characters>2873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37</cp:revision>
  <cp:lastPrinted>1899-12-31T23:00:00Z</cp:lastPrinted>
  <dcterms:created xsi:type="dcterms:W3CDTF">2023-08-01T09:23:00Z</dcterms:created>
  <dcterms:modified xsi:type="dcterms:W3CDTF">2023-08-11T16:02:00Z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